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22" w:rsidRPr="00F71F22" w:rsidRDefault="00D73945" w:rsidP="00F71F22">
      <w:pPr>
        <w:pStyle w:val="Nzov"/>
        <w:spacing w:before="0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00D1">
        <w:rPr>
          <w:rFonts w:ascii="Times New Roman" w:hAnsi="Times New Roman" w:cs="Times New Roman"/>
          <w:iCs/>
          <w:sz w:val="24"/>
          <w:szCs w:val="24"/>
        </w:rPr>
        <w:t>COMMERCIO ESTERO SLOVACCHIA</w:t>
      </w: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3E1444">
        <w:rPr>
          <w:rFonts w:ascii="Times New Roman" w:hAnsi="Times New Roman" w:cs="Times New Roman"/>
          <w:sz w:val="24"/>
          <w:szCs w:val="24"/>
          <w:lang w:eastAsia="it-IT"/>
        </w:rPr>
        <w:t>Nel 201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>9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3E1444">
        <w:rPr>
          <w:rFonts w:ascii="Times New Roman" w:hAnsi="Times New Roman" w:cs="Times New Roman"/>
          <w:b/>
          <w:sz w:val="24"/>
          <w:szCs w:val="24"/>
          <w:lang w:eastAsia="it-IT"/>
        </w:rPr>
        <w:t>l’interscambio commerciale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 della Slovacchia ha proseguito nel suo trend positivo. Le esportazioni di Bratislava sono ammontate nel 201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>9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 a 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>80.459,0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E1444">
        <w:rPr>
          <w:rFonts w:ascii="Times New Roman" w:hAnsi="Times New Roman" w:cs="Times New Roman"/>
          <w:sz w:val="24"/>
          <w:szCs w:val="24"/>
          <w:lang w:eastAsia="it-IT"/>
        </w:rPr>
        <w:t>mln</w:t>
      </w:r>
      <w:proofErr w:type="spellEnd"/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 di € (+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>1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>,7% rispetto al 201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>8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), mentre le importazioni sono risultate pari a 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 xml:space="preserve">79.362,0 </w:t>
      </w:r>
      <w:proofErr w:type="spellStart"/>
      <w:r w:rsidR="00B02C6B">
        <w:rPr>
          <w:rFonts w:ascii="Times New Roman" w:hAnsi="Times New Roman" w:cs="Times New Roman"/>
          <w:sz w:val="24"/>
          <w:szCs w:val="24"/>
          <w:lang w:eastAsia="it-IT"/>
        </w:rPr>
        <w:t>mln</w:t>
      </w:r>
      <w:proofErr w:type="spellEnd"/>
      <w:r w:rsidR="00B02C6B">
        <w:rPr>
          <w:rFonts w:ascii="Times New Roman" w:hAnsi="Times New Roman" w:cs="Times New Roman"/>
          <w:sz w:val="24"/>
          <w:szCs w:val="24"/>
          <w:lang w:eastAsia="it-IT"/>
        </w:rPr>
        <w:t xml:space="preserve"> di € (+3,3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% rispetto all’anno precedente), registrando un surplus della bilancia commerciale slovacca di </w:t>
      </w:r>
      <w:r w:rsidR="00B02C6B">
        <w:rPr>
          <w:rFonts w:ascii="Times New Roman" w:hAnsi="Times New Roman" w:cs="Times New Roman"/>
          <w:sz w:val="24"/>
          <w:szCs w:val="24"/>
          <w:lang w:eastAsia="it-IT"/>
        </w:rPr>
        <w:t>1.097,0</w:t>
      </w:r>
      <w:r w:rsidRPr="003E1444">
        <w:rPr>
          <w:rFonts w:ascii="Times New Roman" w:hAnsi="Times New Roman" w:cs="Times New Roman"/>
          <w:sz w:val="24"/>
          <w:szCs w:val="24"/>
          <w:lang w:eastAsia="it-IT"/>
        </w:rPr>
        <w:t xml:space="preserve"> miliardi di Euro. </w:t>
      </w:r>
    </w:p>
    <w:p w:rsidR="00F71F22" w:rsidRPr="003E1444" w:rsidRDefault="00F71F22" w:rsidP="00F71F22">
      <w:pPr>
        <w:pStyle w:val="Zkladntext"/>
        <w:tabs>
          <w:tab w:val="num" w:pos="0"/>
        </w:tabs>
        <w:rPr>
          <w:rFonts w:ascii="Times New Roman" w:hAnsi="Times New Roman" w:cs="Times New Roman"/>
          <w:b/>
          <w:lang w:val="it-IT"/>
        </w:rPr>
      </w:pPr>
    </w:p>
    <w:p w:rsidR="00F71F22" w:rsidRPr="003E1444" w:rsidRDefault="00F71F22" w:rsidP="00F71F22">
      <w:pPr>
        <w:pStyle w:val="Zkladntext"/>
        <w:tabs>
          <w:tab w:val="num" w:pos="0"/>
        </w:tabs>
        <w:jc w:val="center"/>
        <w:rPr>
          <w:rFonts w:ascii="Times New Roman" w:hAnsi="Times New Roman" w:cs="Times New Roman"/>
          <w:b/>
          <w:lang w:val="it-IT"/>
        </w:rPr>
      </w:pPr>
      <w:r w:rsidRPr="003E1444">
        <w:rPr>
          <w:rFonts w:ascii="Times New Roman" w:hAnsi="Times New Roman" w:cs="Times New Roman"/>
          <w:b/>
          <w:lang w:val="it-IT"/>
        </w:rPr>
        <w:t>Bilancia commerciale slovacca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50"/>
        <w:gridCol w:w="850"/>
        <w:gridCol w:w="850"/>
        <w:gridCol w:w="993"/>
        <w:gridCol w:w="993"/>
        <w:gridCol w:w="992"/>
        <w:gridCol w:w="992"/>
        <w:gridCol w:w="992"/>
        <w:gridCol w:w="1276"/>
      </w:tblGrid>
      <w:tr w:rsidR="006967D3" w:rsidRPr="003E1444" w:rsidTr="006967D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ind w:right="-108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Euro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lang w:val="it-IT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lang w:val="it-IT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left" w:pos="180"/>
                <w:tab w:val="center" w:pos="426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ab/>
            </w:r>
            <w:r w:rsidRPr="003E144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ab/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lang w:val="it-IT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Default="006967D3" w:rsidP="006967D3">
            <w:pPr>
              <w:pStyle w:val="Zkladntext"/>
              <w:tabs>
                <w:tab w:val="num" w:pos="0"/>
              </w:tabs>
              <w:ind w:hanging="354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2019</w:t>
            </w:r>
          </w:p>
          <w:p w:rsidR="006967D3" w:rsidRPr="003E1444" w:rsidRDefault="006967D3" w:rsidP="006967D3">
            <w:pPr>
              <w:pStyle w:val="Zkladntext"/>
              <w:tabs>
                <w:tab w:val="num" w:pos="0"/>
              </w:tabs>
              <w:ind w:hanging="354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</w:rPr>
              <w:t>Var.</w:t>
            </w:r>
          </w:p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2019</w:t>
            </w:r>
            <w:r w:rsidRPr="003E1444">
              <w:rPr>
                <w:rFonts w:ascii="Times New Roman" w:hAnsi="Times New Roman" w:cs="Times New Roman"/>
                <w:b/>
                <w:bCs/>
                <w:iCs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6967D3" w:rsidRPr="003E1444" w:rsidTr="006967D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b/>
              </w:rPr>
              <w:t>Import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right"/>
              <w:rPr>
                <w:rFonts w:ascii="Times New Roman" w:hAnsi="Times New Roman" w:cs="Times New Roman"/>
                <w:bCs/>
              </w:rPr>
            </w:pPr>
            <w:r w:rsidRPr="003E1444">
              <w:rPr>
                <w:rFonts w:ascii="Times New Roman" w:hAnsi="Times New Roman" w:cs="Times New Roman"/>
                <w:bCs/>
              </w:rPr>
              <w:t>58.588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59.940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right"/>
              <w:rPr>
                <w:rFonts w:ascii="Times New Roman" w:hAnsi="Times New Roman" w:cs="Times New Roman"/>
                <w:bCs/>
              </w:rPr>
            </w:pPr>
            <w:r w:rsidRPr="003E1444">
              <w:rPr>
                <w:rFonts w:ascii="Times New Roman" w:hAnsi="Times New Roman" w:cs="Times New Roman"/>
                <w:bCs/>
              </w:rPr>
              <w:t>60.152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64.360,7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66.386,3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71.706,0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77.326,0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ind w:hanging="354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79.362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3,3</w:t>
            </w:r>
          </w:p>
        </w:tc>
      </w:tr>
      <w:tr w:rsidR="006967D3" w:rsidRPr="003E1444" w:rsidTr="006967D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b/>
              </w:rPr>
              <w:t>Export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right"/>
              <w:rPr>
                <w:rFonts w:ascii="Times New Roman" w:hAnsi="Times New Roman" w:cs="Times New Roman"/>
                <w:bCs/>
              </w:rPr>
            </w:pPr>
            <w:r w:rsidRPr="003E1444">
              <w:rPr>
                <w:rFonts w:ascii="Times New Roman" w:hAnsi="Times New Roman" w:cs="Times New Roman"/>
                <w:bCs/>
              </w:rPr>
              <w:t>62.144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64.172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right"/>
              <w:rPr>
                <w:rFonts w:ascii="Times New Roman" w:hAnsi="Times New Roman" w:cs="Times New Roman"/>
                <w:bCs/>
              </w:rPr>
            </w:pPr>
            <w:r w:rsidRPr="003E1444">
              <w:rPr>
                <w:rFonts w:ascii="Times New Roman" w:hAnsi="Times New Roman" w:cs="Times New Roman"/>
                <w:bCs/>
              </w:rPr>
              <w:t>64.801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67.679,9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70.032,2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  <w:lang w:val="fr-FR"/>
              </w:rPr>
            </w:pPr>
            <w:r w:rsidRPr="003E1444">
              <w:rPr>
                <w:rFonts w:ascii="Times New Roman" w:hAnsi="Times New Roman" w:cs="Times New Roman"/>
                <w:iCs/>
                <w:lang w:val="fr-FR"/>
              </w:rPr>
              <w:t>74.757,1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79.785,6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ind w:hanging="354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80.459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1,7</w:t>
            </w:r>
          </w:p>
        </w:tc>
      </w:tr>
      <w:tr w:rsidR="006967D3" w:rsidRPr="003E1444" w:rsidTr="006967D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3E1444">
              <w:rPr>
                <w:rFonts w:ascii="Times New Roman" w:hAnsi="Times New Roman" w:cs="Times New Roman"/>
                <w:b/>
              </w:rPr>
              <w:t>Saldo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right"/>
              <w:rPr>
                <w:rFonts w:ascii="Times New Roman" w:hAnsi="Times New Roman" w:cs="Times New Roman"/>
                <w:bCs/>
                <w:lang w:val="it-IT"/>
              </w:rPr>
            </w:pPr>
            <w:r w:rsidRPr="003E1444">
              <w:rPr>
                <w:rFonts w:ascii="Times New Roman" w:hAnsi="Times New Roman" w:cs="Times New Roman"/>
                <w:bCs/>
              </w:rPr>
              <w:t>3.</w:t>
            </w:r>
            <w:r w:rsidRPr="003E1444">
              <w:rPr>
                <w:rFonts w:ascii="Times New Roman" w:hAnsi="Times New Roman" w:cs="Times New Roman"/>
                <w:bCs/>
                <w:lang w:val="it-IT"/>
              </w:rPr>
              <w:t>556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iCs/>
                <w:lang w:val="it-IT"/>
              </w:rPr>
              <w:t>4.232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jc w:val="right"/>
              <w:rPr>
                <w:rFonts w:ascii="Times New Roman" w:hAnsi="Times New Roman" w:cs="Times New Roman"/>
                <w:bCs/>
                <w:lang w:val="it-IT"/>
              </w:rPr>
            </w:pPr>
            <w:r w:rsidRPr="003E1444">
              <w:rPr>
                <w:rFonts w:ascii="Times New Roman" w:hAnsi="Times New Roman" w:cs="Times New Roman"/>
                <w:bCs/>
                <w:lang w:val="it-IT"/>
              </w:rPr>
              <w:t>4.649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iCs/>
                <w:lang w:val="it-IT"/>
              </w:rPr>
              <w:t>3.319,2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iCs/>
                <w:lang w:val="it-IT"/>
              </w:rPr>
              <w:t>3.645,9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</w:rPr>
            </w:pPr>
            <w:r w:rsidRPr="003E1444">
              <w:rPr>
                <w:rFonts w:ascii="Times New Roman" w:hAnsi="Times New Roman" w:cs="Times New Roman"/>
                <w:iCs/>
              </w:rPr>
              <w:t>3.051,2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  <w:lang w:val="it-IT"/>
              </w:rPr>
            </w:pPr>
            <w:r w:rsidRPr="003E1444">
              <w:rPr>
                <w:rFonts w:ascii="Times New Roman" w:hAnsi="Times New Roman" w:cs="Times New Roman"/>
                <w:iCs/>
                <w:lang w:val="it-IT"/>
              </w:rPr>
              <w:t>2.459,6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ind w:hanging="354"/>
              <w:jc w:val="right"/>
              <w:rPr>
                <w:rFonts w:ascii="Times New Roman" w:hAnsi="Times New Roman" w:cs="Times New Roman"/>
                <w:iCs/>
                <w:lang w:val="it-IT"/>
              </w:rPr>
            </w:pPr>
            <w:r>
              <w:rPr>
                <w:rFonts w:ascii="Times New Roman" w:hAnsi="Times New Roman" w:cs="Times New Roman"/>
                <w:iCs/>
                <w:lang w:val="it-IT"/>
              </w:rPr>
              <w:t>1.097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9B722E">
            <w:pPr>
              <w:pStyle w:val="Zkladntext"/>
              <w:tabs>
                <w:tab w:val="num" w:pos="0"/>
              </w:tabs>
              <w:jc w:val="right"/>
              <w:rPr>
                <w:rFonts w:ascii="Times New Roman" w:hAnsi="Times New Roman" w:cs="Times New Roman"/>
                <w:iCs/>
                <w:lang w:val="it-IT"/>
              </w:rPr>
            </w:pPr>
            <w:r>
              <w:rPr>
                <w:rFonts w:ascii="Times New Roman" w:hAnsi="Times New Roman" w:cs="Times New Roman"/>
                <w:iCs/>
                <w:lang w:val="it-IT"/>
              </w:rPr>
              <w:t>-</w:t>
            </w:r>
          </w:p>
        </w:tc>
      </w:tr>
    </w:tbl>
    <w:p w:rsidR="00F71F22" w:rsidRPr="003E1444" w:rsidRDefault="00F71F22" w:rsidP="00F71F22">
      <w:pPr>
        <w:pStyle w:val="Zkladntext"/>
        <w:tabs>
          <w:tab w:val="num" w:pos="0"/>
        </w:tabs>
        <w:rPr>
          <w:rFonts w:ascii="Times New Roman" w:hAnsi="Times New Roman" w:cs="Times New Roman"/>
          <w:iCs/>
          <w:sz w:val="20"/>
          <w:szCs w:val="20"/>
          <w:lang w:val="it-IT"/>
        </w:rPr>
      </w:pPr>
      <w:r w:rsidRPr="003E1444">
        <w:rPr>
          <w:rFonts w:ascii="Times New Roman" w:hAnsi="Times New Roman" w:cs="Times New Roman"/>
          <w:i/>
          <w:sz w:val="20"/>
          <w:szCs w:val="20"/>
          <w:lang w:val="it-IT"/>
        </w:rPr>
        <w:t xml:space="preserve">FONTE: elaborazione Ambasciata d’Italia su dati dell’Istituto Statistico della Repubblica Slovacca </w:t>
      </w:r>
    </w:p>
    <w:p w:rsidR="00F71F22" w:rsidRPr="003E1444" w:rsidRDefault="00F71F22" w:rsidP="00F71F22">
      <w:pPr>
        <w:pStyle w:val="Zkladntext"/>
        <w:tabs>
          <w:tab w:val="num" w:pos="0"/>
        </w:tabs>
        <w:spacing w:line="260" w:lineRule="exact"/>
        <w:rPr>
          <w:rFonts w:ascii="Times New Roman" w:hAnsi="Times New Roman" w:cs="Times New Roman"/>
          <w:iCs/>
          <w:sz w:val="16"/>
          <w:szCs w:val="16"/>
          <w:lang w:val="it-IT"/>
        </w:rPr>
      </w:pP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44">
        <w:rPr>
          <w:rFonts w:ascii="Times New Roman" w:hAnsi="Times New Roman" w:cs="Times New Roman"/>
          <w:b/>
          <w:sz w:val="24"/>
          <w:szCs w:val="24"/>
        </w:rPr>
        <w:t xml:space="preserve">Tra i Paesi fornitori, </w:t>
      </w:r>
      <w:r w:rsidRPr="003E1444">
        <w:rPr>
          <w:rFonts w:ascii="Times New Roman" w:hAnsi="Times New Roman" w:cs="Times New Roman"/>
          <w:sz w:val="24"/>
          <w:szCs w:val="24"/>
        </w:rPr>
        <w:t>in prima posizione nella graduatoria si conferma la Germania, seguita dalla Repubblica Ceca, Cina, Polonia, Federazione Russa</w:t>
      </w:r>
      <w:r w:rsidR="006967D3">
        <w:rPr>
          <w:rFonts w:ascii="Times New Roman" w:hAnsi="Times New Roman" w:cs="Times New Roman"/>
          <w:sz w:val="24"/>
          <w:szCs w:val="24"/>
        </w:rPr>
        <w:t>,</w:t>
      </w:r>
      <w:r w:rsidRPr="003E1444">
        <w:rPr>
          <w:rFonts w:ascii="Times New Roman" w:hAnsi="Times New Roman" w:cs="Times New Roman"/>
          <w:sz w:val="24"/>
          <w:szCs w:val="24"/>
        </w:rPr>
        <w:t xml:space="preserve"> </w:t>
      </w:r>
      <w:r w:rsidR="006967D3">
        <w:rPr>
          <w:rFonts w:ascii="Times New Roman" w:hAnsi="Times New Roman" w:cs="Times New Roman"/>
          <w:sz w:val="24"/>
          <w:szCs w:val="24"/>
        </w:rPr>
        <w:t xml:space="preserve">Corea del Sud, </w:t>
      </w:r>
      <w:r w:rsidRPr="003E1444">
        <w:rPr>
          <w:rFonts w:ascii="Times New Roman" w:hAnsi="Times New Roman" w:cs="Times New Roman"/>
          <w:sz w:val="24"/>
          <w:szCs w:val="24"/>
        </w:rPr>
        <w:t>Ungheria</w:t>
      </w:r>
      <w:r w:rsidR="006967D3">
        <w:rPr>
          <w:rFonts w:ascii="Times New Roman" w:hAnsi="Times New Roman" w:cs="Times New Roman"/>
          <w:sz w:val="24"/>
          <w:szCs w:val="24"/>
        </w:rPr>
        <w:t>, Vietnam e Francia</w:t>
      </w:r>
      <w:r w:rsidRPr="003E1444">
        <w:rPr>
          <w:rFonts w:ascii="Times New Roman" w:hAnsi="Times New Roman" w:cs="Times New Roman"/>
          <w:sz w:val="24"/>
          <w:szCs w:val="24"/>
        </w:rPr>
        <w:t xml:space="preserve">. </w:t>
      </w:r>
      <w:r w:rsidRPr="003E1444">
        <w:rPr>
          <w:rFonts w:ascii="Times New Roman" w:hAnsi="Times New Roman" w:cs="Times New Roman"/>
          <w:b/>
          <w:sz w:val="24"/>
          <w:szCs w:val="24"/>
        </w:rPr>
        <w:t>L’</w:t>
      </w:r>
      <w:r w:rsidRPr="003E1444">
        <w:rPr>
          <w:rFonts w:ascii="Times New Roman" w:hAnsi="Times New Roman" w:cs="Times New Roman"/>
          <w:b/>
          <w:bCs/>
          <w:sz w:val="24"/>
          <w:szCs w:val="24"/>
        </w:rPr>
        <w:t>Italia</w:t>
      </w:r>
      <w:r w:rsidRPr="003E1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D3">
        <w:rPr>
          <w:rFonts w:ascii="Times New Roman" w:hAnsi="Times New Roman" w:cs="Times New Roman"/>
          <w:b/>
          <w:sz w:val="24"/>
          <w:szCs w:val="24"/>
        </w:rPr>
        <w:t>cala dall'ottava posizione (nel 2018)  in decima</w:t>
      </w:r>
      <w:r w:rsidRPr="003E1444">
        <w:rPr>
          <w:rFonts w:ascii="Times New Roman" w:hAnsi="Times New Roman" w:cs="Times New Roman"/>
          <w:b/>
          <w:sz w:val="24"/>
          <w:szCs w:val="24"/>
        </w:rPr>
        <w:t>, con una quota del 3,4% delle importazioni slovacche e una variazione rispetto allo stesso p</w:t>
      </w:r>
      <w:r w:rsidR="006967D3">
        <w:rPr>
          <w:rFonts w:ascii="Times New Roman" w:hAnsi="Times New Roman" w:cs="Times New Roman"/>
          <w:b/>
          <w:sz w:val="24"/>
          <w:szCs w:val="24"/>
        </w:rPr>
        <w:t>eriodo dell’anno precedente dell'1,1</w:t>
      </w:r>
      <w:r w:rsidRPr="003E1444">
        <w:rPr>
          <w:rFonts w:ascii="Times New Roman" w:hAnsi="Times New Roman" w:cs="Times New Roman"/>
          <w:b/>
          <w:sz w:val="24"/>
          <w:szCs w:val="24"/>
        </w:rPr>
        <w:t xml:space="preserve">%. </w:t>
      </w: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F22" w:rsidRPr="003E1444" w:rsidRDefault="00F71F22" w:rsidP="00F71F22">
      <w:pPr>
        <w:pStyle w:val="Zkladntext"/>
        <w:tabs>
          <w:tab w:val="num" w:pos="0"/>
        </w:tabs>
        <w:jc w:val="center"/>
        <w:rPr>
          <w:rFonts w:ascii="Times New Roman" w:hAnsi="Times New Roman" w:cs="Times New Roman"/>
          <w:b/>
          <w:lang w:val="it-IT"/>
        </w:rPr>
      </w:pPr>
      <w:r w:rsidRPr="003E1444">
        <w:rPr>
          <w:rFonts w:ascii="Times New Roman" w:hAnsi="Times New Roman" w:cs="Times New Roman"/>
          <w:b/>
          <w:lang w:val="it-IT"/>
        </w:rPr>
        <w:t>Importazioni slovacche: Paesi fornitori</w:t>
      </w:r>
    </w:p>
    <w:tbl>
      <w:tblPr>
        <w:tblpPr w:leftFromText="141" w:rightFromText="141" w:vertAnchor="text" w:horzAnchor="margin" w:tblpY="38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783"/>
        <w:gridCol w:w="783"/>
        <w:gridCol w:w="783"/>
        <w:gridCol w:w="783"/>
        <w:gridCol w:w="769"/>
        <w:gridCol w:w="851"/>
        <w:gridCol w:w="850"/>
        <w:gridCol w:w="851"/>
        <w:gridCol w:w="1135"/>
        <w:gridCol w:w="993"/>
      </w:tblGrid>
      <w:tr w:rsidR="006967D3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Dati in milioni di Euro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67D3" w:rsidRPr="003E1444" w:rsidRDefault="006967D3" w:rsidP="0069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Var. </w:t>
            </w:r>
          </w:p>
          <w:p w:rsidR="006967D3" w:rsidRPr="003E1444" w:rsidRDefault="006967D3" w:rsidP="006967D3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9</w:t>
            </w: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 /201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Quota sul totale</w:t>
            </w:r>
          </w:p>
        </w:tc>
      </w:tr>
      <w:tr w:rsidR="006967D3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Germania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9.868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9.462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8.947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9.800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11.131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11.835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13.693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6967D3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Rep. Ceca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5.728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6.529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6.285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7.005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7.041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7.339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7.923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6967D3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ind w:right="-23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Cina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3.660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4.645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5.430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6967D3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5.018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3" w:rsidRPr="003E1444" w:rsidRDefault="009B722E" w:rsidP="006967D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6,3</w:t>
            </w:r>
          </w:p>
        </w:tc>
      </w:tr>
      <w:tr w:rsidR="009B722E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Polonia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2.169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2.901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2.863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3.173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4.525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5,7</w:t>
            </w:r>
          </w:p>
        </w:tc>
      </w:tr>
      <w:tr w:rsidR="009B722E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Fed. Russa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5.933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6.139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3.486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-2,3</w:t>
            </w:r>
            <w:r w:rsidR="002C05C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5,6</w:t>
            </w:r>
          </w:p>
        </w:tc>
      </w:tr>
      <w:tr w:rsidR="009B722E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ind w:right="-23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Corea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5.602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4.379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4.253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4.274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5,4</w:t>
            </w:r>
          </w:p>
        </w:tc>
      </w:tr>
      <w:tr w:rsidR="009B722E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Ungheria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2.153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2.667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2.817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4.135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5,2</w:t>
            </w:r>
          </w:p>
        </w:tc>
      </w:tr>
      <w:tr w:rsidR="009B722E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72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Vietnam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9B722E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5,1</w:t>
            </w:r>
          </w:p>
        </w:tc>
      </w:tr>
      <w:tr w:rsidR="009B722E" w:rsidRPr="003E1444" w:rsidTr="005A1DF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ind w:right="-23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Francia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1.716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1.687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1.801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2.089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2.776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3,5</w:t>
            </w:r>
          </w:p>
        </w:tc>
      </w:tr>
      <w:tr w:rsidR="009B722E" w:rsidRPr="003E1444" w:rsidTr="005A1DFD">
        <w:trPr>
          <w:trHeight w:val="19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Italia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1.803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1.899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1.916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2.099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9B722E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2.691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2E" w:rsidRPr="003E1444" w:rsidRDefault="002C05C6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3,4</w:t>
            </w:r>
          </w:p>
        </w:tc>
      </w:tr>
    </w:tbl>
    <w:p w:rsidR="00F71F22" w:rsidRPr="003E1444" w:rsidRDefault="00F71F22" w:rsidP="00F71F22">
      <w:pPr>
        <w:pStyle w:val="Popis"/>
        <w:tabs>
          <w:tab w:val="num" w:pos="0"/>
        </w:tabs>
        <w:rPr>
          <w:noProof w:val="0"/>
          <w:sz w:val="20"/>
          <w:szCs w:val="20"/>
        </w:rPr>
      </w:pPr>
    </w:p>
    <w:p w:rsidR="00F71F22" w:rsidRPr="003E1444" w:rsidRDefault="00F71F22" w:rsidP="00F71F22">
      <w:pPr>
        <w:pStyle w:val="Popis"/>
        <w:tabs>
          <w:tab w:val="num" w:pos="0"/>
        </w:tabs>
        <w:rPr>
          <w:noProof w:val="0"/>
          <w:sz w:val="20"/>
          <w:szCs w:val="20"/>
        </w:rPr>
      </w:pPr>
      <w:r w:rsidRPr="003E1444">
        <w:rPr>
          <w:noProof w:val="0"/>
          <w:sz w:val="20"/>
          <w:szCs w:val="20"/>
        </w:rPr>
        <w:t>FONTE: elaborazione Ambasciata d’Italia su dati dell’Istituto Statistico della Repubblica Slovacca</w:t>
      </w:r>
    </w:p>
    <w:p w:rsidR="00F71F22" w:rsidRPr="003E1444" w:rsidRDefault="00F71F22" w:rsidP="00F71F22">
      <w:pPr>
        <w:pStyle w:val="Zkladntext2"/>
        <w:rPr>
          <w:rFonts w:ascii="Times New Roman" w:hAnsi="Times New Roman" w:cs="Times New Roman"/>
          <w:b/>
          <w:lang w:val="it-IT"/>
        </w:rPr>
      </w:pPr>
    </w:p>
    <w:p w:rsidR="00F71F22" w:rsidRPr="003E1444" w:rsidRDefault="00F71F22" w:rsidP="00F71F22">
      <w:pPr>
        <w:pStyle w:val="Zkladntext2"/>
        <w:rPr>
          <w:rFonts w:ascii="Times New Roman" w:hAnsi="Times New Roman" w:cs="Times New Roman"/>
          <w:lang w:val="it-IT"/>
        </w:rPr>
      </w:pPr>
      <w:r w:rsidRPr="003E1444">
        <w:rPr>
          <w:rFonts w:ascii="Times New Roman" w:hAnsi="Times New Roman" w:cs="Times New Roman"/>
          <w:b/>
          <w:lang w:val="it-IT"/>
        </w:rPr>
        <w:t>Tra i Paesi clienti, nel 201</w:t>
      </w:r>
      <w:r w:rsidR="005A1DFD">
        <w:rPr>
          <w:rFonts w:ascii="Times New Roman" w:hAnsi="Times New Roman" w:cs="Times New Roman"/>
          <w:b/>
          <w:lang w:val="it-IT"/>
        </w:rPr>
        <w:t>9</w:t>
      </w:r>
      <w:r w:rsidRPr="003E1444">
        <w:rPr>
          <w:rFonts w:ascii="Times New Roman" w:hAnsi="Times New Roman" w:cs="Times New Roman"/>
          <w:b/>
          <w:lang w:val="it-IT"/>
        </w:rPr>
        <w:t xml:space="preserve"> </w:t>
      </w:r>
      <w:r w:rsidRPr="003E1444">
        <w:rPr>
          <w:rFonts w:ascii="Times New Roman" w:hAnsi="Times New Roman" w:cs="Times New Roman"/>
          <w:lang w:val="it-IT"/>
        </w:rPr>
        <w:t>il principale mercato di sbocco delle esportazioni slovacche si è confermato essere la Germania (con una significativa quota del 22,</w:t>
      </w:r>
      <w:r w:rsidR="005A1DFD">
        <w:rPr>
          <w:rFonts w:ascii="Times New Roman" w:hAnsi="Times New Roman" w:cs="Times New Roman"/>
          <w:lang w:val="it-IT"/>
        </w:rPr>
        <w:t>3</w:t>
      </w:r>
      <w:r w:rsidRPr="003E1444">
        <w:rPr>
          <w:rFonts w:ascii="Times New Roman" w:hAnsi="Times New Roman" w:cs="Times New Roman"/>
          <w:lang w:val="it-IT"/>
        </w:rPr>
        <w:t xml:space="preserve">% sul totale), con un aumento di ordini del </w:t>
      </w:r>
      <w:r w:rsidR="005A1DFD">
        <w:rPr>
          <w:rFonts w:ascii="Times New Roman" w:hAnsi="Times New Roman" w:cs="Times New Roman"/>
          <w:lang w:val="it-IT"/>
        </w:rPr>
        <w:t>2,3</w:t>
      </w:r>
      <w:r w:rsidRPr="003E1444">
        <w:rPr>
          <w:rFonts w:ascii="Times New Roman" w:hAnsi="Times New Roman" w:cs="Times New Roman"/>
          <w:lang w:val="it-IT"/>
        </w:rPr>
        <w:t>% rispetto allo stesso periodo del 201</w:t>
      </w:r>
      <w:r w:rsidR="005A1DFD">
        <w:rPr>
          <w:rFonts w:ascii="Times New Roman" w:hAnsi="Times New Roman" w:cs="Times New Roman"/>
          <w:lang w:val="it-IT"/>
        </w:rPr>
        <w:t>8</w:t>
      </w:r>
      <w:r w:rsidRPr="003E1444">
        <w:rPr>
          <w:rFonts w:ascii="Times New Roman" w:hAnsi="Times New Roman" w:cs="Times New Roman"/>
          <w:lang w:val="it-IT"/>
        </w:rPr>
        <w:t>, seguita da Repubblica Ceca, Polonia</w:t>
      </w:r>
      <w:r w:rsidR="005A1DFD">
        <w:rPr>
          <w:rFonts w:ascii="Times New Roman" w:hAnsi="Times New Roman" w:cs="Times New Roman"/>
          <w:lang w:val="it-IT"/>
        </w:rPr>
        <w:t xml:space="preserve">, </w:t>
      </w:r>
      <w:r w:rsidRPr="003E1444">
        <w:rPr>
          <w:rFonts w:ascii="Times New Roman" w:hAnsi="Times New Roman" w:cs="Times New Roman"/>
          <w:lang w:val="it-IT"/>
        </w:rPr>
        <w:t>Francia</w:t>
      </w:r>
      <w:r w:rsidR="005A1DFD">
        <w:rPr>
          <w:rFonts w:ascii="Times New Roman" w:hAnsi="Times New Roman" w:cs="Times New Roman"/>
          <w:lang w:val="it-IT"/>
        </w:rPr>
        <w:t xml:space="preserve">, </w:t>
      </w:r>
      <w:r w:rsidR="005A1DFD" w:rsidRPr="003E1444">
        <w:rPr>
          <w:rFonts w:ascii="Times New Roman" w:hAnsi="Times New Roman" w:cs="Times New Roman"/>
          <w:lang w:val="it-IT"/>
        </w:rPr>
        <w:t>Ungheria</w:t>
      </w:r>
      <w:r w:rsidR="005A1DFD">
        <w:rPr>
          <w:rFonts w:ascii="Times New Roman" w:hAnsi="Times New Roman" w:cs="Times New Roman"/>
          <w:lang w:val="it-IT"/>
        </w:rPr>
        <w:t xml:space="preserve"> e </w:t>
      </w:r>
      <w:r w:rsidR="005A1DFD" w:rsidRPr="003E1444">
        <w:rPr>
          <w:rFonts w:ascii="Times New Roman" w:hAnsi="Times New Roman" w:cs="Times New Roman"/>
          <w:lang w:val="it-IT"/>
        </w:rPr>
        <w:t>Austria</w:t>
      </w:r>
      <w:r w:rsidRPr="003E1444">
        <w:rPr>
          <w:rFonts w:ascii="Times New Roman" w:hAnsi="Times New Roman" w:cs="Times New Roman"/>
          <w:lang w:val="it-IT"/>
        </w:rPr>
        <w:t xml:space="preserve">. </w:t>
      </w:r>
      <w:r w:rsidRPr="003E1444">
        <w:rPr>
          <w:rFonts w:ascii="Times New Roman" w:hAnsi="Times New Roman" w:cs="Times New Roman"/>
          <w:b/>
          <w:lang w:val="it-IT"/>
        </w:rPr>
        <w:t xml:space="preserve">L´Italia si colloca in </w:t>
      </w:r>
      <w:r w:rsidR="005A1DFD">
        <w:rPr>
          <w:rFonts w:ascii="Times New Roman" w:hAnsi="Times New Roman" w:cs="Times New Roman"/>
          <w:b/>
          <w:lang w:val="it-IT"/>
        </w:rPr>
        <w:t>ottava</w:t>
      </w:r>
      <w:r w:rsidRPr="003E1444">
        <w:rPr>
          <w:rFonts w:ascii="Times New Roman" w:hAnsi="Times New Roman" w:cs="Times New Roman"/>
          <w:b/>
          <w:lang w:val="it-IT"/>
        </w:rPr>
        <w:t xml:space="preserve"> posizione</w:t>
      </w:r>
      <w:r w:rsidR="005A1DFD">
        <w:rPr>
          <w:rFonts w:ascii="Times New Roman" w:hAnsi="Times New Roman" w:cs="Times New Roman"/>
          <w:b/>
          <w:lang w:val="it-IT"/>
        </w:rPr>
        <w:t xml:space="preserve"> (calo di tre posizioni rispetto all'anno 2018)</w:t>
      </w:r>
      <w:r w:rsidRPr="003E1444">
        <w:rPr>
          <w:rFonts w:ascii="Times New Roman" w:hAnsi="Times New Roman" w:cs="Times New Roman"/>
          <w:lang w:val="it-IT"/>
        </w:rPr>
        <w:t xml:space="preserve">, </w:t>
      </w:r>
      <w:r w:rsidRPr="003E1444">
        <w:rPr>
          <w:rFonts w:ascii="Times New Roman" w:hAnsi="Times New Roman" w:cs="Times New Roman"/>
          <w:b/>
          <w:lang w:val="it-IT"/>
        </w:rPr>
        <w:t xml:space="preserve">con una quota del </w:t>
      </w:r>
      <w:r w:rsidR="005A1DFD">
        <w:rPr>
          <w:rFonts w:ascii="Times New Roman" w:hAnsi="Times New Roman" w:cs="Times New Roman"/>
          <w:b/>
          <w:lang w:val="it-IT"/>
        </w:rPr>
        <w:t>4,6</w:t>
      </w:r>
      <w:r w:rsidRPr="003E1444">
        <w:rPr>
          <w:rFonts w:ascii="Times New Roman" w:hAnsi="Times New Roman" w:cs="Times New Roman"/>
          <w:b/>
          <w:lang w:val="it-IT"/>
        </w:rPr>
        <w:t xml:space="preserve">% delle esportazioni slovacche ed un </w:t>
      </w:r>
      <w:r w:rsidR="005A1DFD">
        <w:rPr>
          <w:rFonts w:ascii="Times New Roman" w:hAnsi="Times New Roman" w:cs="Times New Roman"/>
          <w:b/>
          <w:lang w:val="it-IT"/>
        </w:rPr>
        <w:t>calo</w:t>
      </w:r>
      <w:r w:rsidRPr="003E1444">
        <w:rPr>
          <w:rFonts w:ascii="Times New Roman" w:hAnsi="Times New Roman" w:cs="Times New Roman"/>
          <w:b/>
          <w:lang w:val="it-IT"/>
        </w:rPr>
        <w:t xml:space="preserve"> delle stesse del </w:t>
      </w:r>
      <w:r w:rsidR="005A1DFD">
        <w:rPr>
          <w:rFonts w:ascii="Times New Roman" w:hAnsi="Times New Roman" w:cs="Times New Roman"/>
          <w:b/>
          <w:lang w:val="it-IT"/>
        </w:rPr>
        <w:t>18</w:t>
      </w:r>
      <w:r w:rsidRPr="003E1444">
        <w:rPr>
          <w:rFonts w:ascii="Times New Roman" w:hAnsi="Times New Roman" w:cs="Times New Roman"/>
          <w:b/>
          <w:lang w:val="it-IT"/>
        </w:rPr>
        <w:t>%.</w:t>
      </w:r>
      <w:r w:rsidRPr="003E1444">
        <w:rPr>
          <w:rFonts w:ascii="Times New Roman" w:hAnsi="Times New Roman" w:cs="Times New Roman"/>
          <w:lang w:val="it-IT"/>
        </w:rPr>
        <w:t xml:space="preserve"> Seguono</w:t>
      </w:r>
      <w:r w:rsidR="005A1DFD">
        <w:rPr>
          <w:rFonts w:ascii="Times New Roman" w:hAnsi="Times New Roman" w:cs="Times New Roman"/>
          <w:lang w:val="it-IT"/>
        </w:rPr>
        <w:t xml:space="preserve"> </w:t>
      </w:r>
      <w:r w:rsidRPr="003E1444">
        <w:rPr>
          <w:rFonts w:ascii="Times New Roman" w:hAnsi="Times New Roman" w:cs="Times New Roman"/>
          <w:lang w:val="it-IT"/>
        </w:rPr>
        <w:t xml:space="preserve"> Regno Unito, Spagna e </w:t>
      </w:r>
      <w:r w:rsidR="005A1DFD">
        <w:rPr>
          <w:rFonts w:ascii="Times New Roman" w:hAnsi="Times New Roman" w:cs="Times New Roman"/>
          <w:lang w:val="it-IT"/>
        </w:rPr>
        <w:t>Cina</w:t>
      </w:r>
      <w:r w:rsidRPr="003E1444">
        <w:rPr>
          <w:rFonts w:ascii="Times New Roman" w:hAnsi="Times New Roman" w:cs="Times New Roman"/>
          <w:lang w:val="it-IT"/>
        </w:rPr>
        <w:t xml:space="preserve">. </w:t>
      </w:r>
    </w:p>
    <w:p w:rsidR="00F71F22" w:rsidRPr="003E1444" w:rsidRDefault="00F71F22" w:rsidP="00F71F22">
      <w:pPr>
        <w:pStyle w:val="Nadpis4"/>
        <w:tabs>
          <w:tab w:val="left" w:pos="0"/>
          <w:tab w:val="left" w:pos="1080"/>
        </w:tabs>
        <w:rPr>
          <w:rFonts w:ascii="Times New Roman" w:hAnsi="Times New Roman" w:cs="Times New Roman"/>
          <w:lang w:val="it-IT"/>
        </w:rPr>
      </w:pPr>
    </w:p>
    <w:p w:rsidR="00F71F22" w:rsidRPr="003E1444" w:rsidRDefault="00F71F22" w:rsidP="00F71F22">
      <w:pPr>
        <w:pStyle w:val="Nadpis4"/>
        <w:tabs>
          <w:tab w:val="left" w:pos="0"/>
          <w:tab w:val="left" w:pos="1080"/>
        </w:tabs>
        <w:jc w:val="center"/>
        <w:rPr>
          <w:rFonts w:ascii="Times New Roman" w:hAnsi="Times New Roman" w:cs="Times New Roman"/>
          <w:lang w:val="it-IT"/>
        </w:rPr>
      </w:pPr>
      <w:r w:rsidRPr="003E1444">
        <w:rPr>
          <w:rFonts w:ascii="Times New Roman" w:hAnsi="Times New Roman" w:cs="Times New Roman"/>
          <w:lang w:val="it-IT"/>
        </w:rPr>
        <w:t>Esportazioni slovacche: Principali Paesi clienti</w:t>
      </w:r>
    </w:p>
    <w:tbl>
      <w:tblPr>
        <w:tblpPr w:leftFromText="141" w:rightFromText="141" w:vertAnchor="text" w:horzAnchor="margin" w:tblpX="70" w:tblpY="68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711"/>
        <w:gridCol w:w="711"/>
        <w:gridCol w:w="711"/>
        <w:gridCol w:w="711"/>
        <w:gridCol w:w="711"/>
        <w:gridCol w:w="839"/>
        <w:gridCol w:w="850"/>
        <w:gridCol w:w="993"/>
        <w:gridCol w:w="1275"/>
        <w:gridCol w:w="993"/>
      </w:tblGrid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Dati in milioni di Euro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</w:p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  <w:r w:rsidRPr="003E1444">
              <w:rPr>
                <w:rStyle w:val="Siln"/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</w:p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  <w:r w:rsidRPr="003E1444">
              <w:rPr>
                <w:rStyle w:val="Siln"/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</w:p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  <w:r w:rsidRPr="003E1444">
              <w:rPr>
                <w:rStyle w:val="Siln"/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</w:p>
          <w:p w:rsidR="005A1DFD" w:rsidRPr="003E1444" w:rsidRDefault="005A1DFD" w:rsidP="009B722E">
            <w:pPr>
              <w:spacing w:after="0" w:line="240" w:lineRule="auto"/>
              <w:jc w:val="center"/>
              <w:rPr>
                <w:rStyle w:val="Siln"/>
                <w:rFonts w:ascii="Times New Roman" w:hAnsi="Times New Roman"/>
                <w:sz w:val="20"/>
                <w:szCs w:val="20"/>
              </w:rPr>
            </w:pPr>
            <w:r w:rsidRPr="003E1444">
              <w:rPr>
                <w:rStyle w:val="Siln"/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pStyle w:val="Zkladntex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:rsidR="005A1DFD" w:rsidRPr="003E1444" w:rsidRDefault="005A1DFD" w:rsidP="009B722E">
            <w:pPr>
              <w:pStyle w:val="Zkladntex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Var. </w:t>
            </w:r>
          </w:p>
          <w:p w:rsidR="005A1DFD" w:rsidRPr="003E1444" w:rsidRDefault="005A1DFD" w:rsidP="005A1DFD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9</w:t>
            </w: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 xml:space="preserve"> /201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pStyle w:val="Zkladntext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it-IT"/>
              </w:rPr>
              <w:t>Quota sul totale</w:t>
            </w:r>
          </w:p>
        </w:tc>
      </w:tr>
      <w:tr w:rsidR="005A1DFD" w:rsidRPr="003E1444" w:rsidTr="005A1DFD">
        <w:trPr>
          <w:trHeight w:val="7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Germania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13.391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13.392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14.332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15.392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15.335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15.424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17.716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Rep. Ceca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8.864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8.669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8.294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8.436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8.301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9.462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Polonia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5.068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5.295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5.200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5.622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5.315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6.046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6.016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7,5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Francia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3.387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3.196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3.203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3.832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4.295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5.038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5.659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9B722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7,0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Ungheria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4.470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4.070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3.955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3.787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3.902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5.094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6,3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Austria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4.159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3.977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3.967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3.863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4.010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5,6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Regno Unito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2.490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2.910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3.756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3.963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4,9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Italia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2.880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2.921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2.958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3.067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3.383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4.497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4.571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</w:rPr>
              <w:t>3.739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4,6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Spagna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1.399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1.870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2.082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eastAsia="Arial Unicode MS" w:hAnsi="Times New Roman" w:cs="Times New Roman"/>
                <w:sz w:val="20"/>
                <w:szCs w:val="20"/>
              </w:rPr>
              <w:t>2.259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2,8</w:t>
            </w:r>
          </w:p>
        </w:tc>
      </w:tr>
      <w:tr w:rsidR="005A1DFD" w:rsidRPr="003E1444" w:rsidTr="005A1DF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5A1DFD" w:rsidRDefault="005A1DFD" w:rsidP="005A1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DFD">
              <w:rPr>
                <w:rFonts w:ascii="Times New Roman" w:hAnsi="Times New Roman" w:cs="Times New Roman"/>
                <w:b/>
                <w:sz w:val="20"/>
                <w:szCs w:val="20"/>
              </w:rPr>
              <w:t>Cina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5A1DFD" w:rsidRDefault="005A1DFD" w:rsidP="005A1DFD">
            <w:pPr>
              <w:pStyle w:val="CM20"/>
              <w:widowControl/>
              <w:autoSpaceDE/>
              <w:autoSpaceDN/>
              <w:adjustRightInd/>
              <w:spacing w:after="0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it-IT" w:eastAsia="it-IT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5A1DFD" w:rsidRDefault="005A1DFD" w:rsidP="005A1DFD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5A1DFD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FD" w:rsidRPr="005A1DFD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5A1DFD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5A1DFD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5A1DFD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5A1DFD" w:rsidRDefault="005A1DFD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1.697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FD" w:rsidRPr="003E1444" w:rsidRDefault="002846F2" w:rsidP="005A1DF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2,1</w:t>
            </w:r>
          </w:p>
        </w:tc>
      </w:tr>
    </w:tbl>
    <w:p w:rsidR="00F71F22" w:rsidRPr="003E1444" w:rsidRDefault="00F71F22" w:rsidP="00F71F22">
      <w:pPr>
        <w:pStyle w:val="Popis"/>
        <w:tabs>
          <w:tab w:val="num" w:pos="0"/>
        </w:tabs>
        <w:rPr>
          <w:noProof w:val="0"/>
          <w:sz w:val="16"/>
          <w:szCs w:val="16"/>
        </w:rPr>
      </w:pPr>
      <w:r w:rsidRPr="003E1444">
        <w:rPr>
          <w:noProof w:val="0"/>
          <w:sz w:val="16"/>
          <w:szCs w:val="16"/>
        </w:rPr>
        <w:t>FONTE: elaborazione Ambasciata d’Italia su dati dell’Istituto Statistico della Repubblica Slovacca</w:t>
      </w:r>
    </w:p>
    <w:p w:rsidR="00F71F22" w:rsidRPr="003E1444" w:rsidRDefault="00F71F22" w:rsidP="00F71F22">
      <w:pPr>
        <w:pStyle w:val="Zkladntext2"/>
        <w:spacing w:line="260" w:lineRule="exact"/>
        <w:rPr>
          <w:rFonts w:ascii="Times New Roman" w:hAnsi="Times New Roman" w:cs="Times New Roman"/>
          <w:lang w:val="it-IT"/>
        </w:rPr>
      </w:pP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444">
        <w:rPr>
          <w:rFonts w:ascii="Times New Roman" w:hAnsi="Times New Roman" w:cs="Times New Roman"/>
          <w:b/>
          <w:bCs/>
          <w:sz w:val="24"/>
          <w:szCs w:val="24"/>
        </w:rPr>
        <w:t xml:space="preserve">Principali gruppi merceologici </w:t>
      </w: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44">
        <w:rPr>
          <w:rFonts w:ascii="Times New Roman" w:hAnsi="Times New Roman" w:cs="Times New Roman"/>
          <w:b/>
          <w:sz w:val="24"/>
          <w:szCs w:val="24"/>
        </w:rPr>
        <w:t>Nel 201</w:t>
      </w:r>
      <w:r w:rsidR="006723C5">
        <w:rPr>
          <w:rFonts w:ascii="Times New Roman" w:hAnsi="Times New Roman" w:cs="Times New Roman"/>
          <w:b/>
          <w:sz w:val="24"/>
          <w:szCs w:val="24"/>
        </w:rPr>
        <w:t>9</w:t>
      </w:r>
      <w:r w:rsidRPr="003E1444">
        <w:rPr>
          <w:rFonts w:ascii="Times New Roman" w:hAnsi="Times New Roman" w:cs="Times New Roman"/>
          <w:sz w:val="24"/>
          <w:szCs w:val="24"/>
        </w:rPr>
        <w:t xml:space="preserve"> si sono confermati al primo posto delle </w:t>
      </w:r>
      <w:r w:rsidRPr="003E1444">
        <w:rPr>
          <w:rFonts w:ascii="Times New Roman" w:hAnsi="Times New Roman" w:cs="Times New Roman"/>
          <w:b/>
          <w:sz w:val="24"/>
          <w:szCs w:val="24"/>
        </w:rPr>
        <w:t>importazioni slovacche</w:t>
      </w:r>
      <w:r w:rsidRPr="003E1444">
        <w:rPr>
          <w:rFonts w:ascii="Times New Roman" w:hAnsi="Times New Roman" w:cs="Times New Roman"/>
          <w:sz w:val="24"/>
          <w:szCs w:val="24"/>
        </w:rPr>
        <w:t xml:space="preserve"> i macchinari e veicoli, registrando un aumento </w:t>
      </w:r>
      <w:r w:rsidR="006723C5">
        <w:rPr>
          <w:rFonts w:ascii="Times New Roman" w:hAnsi="Times New Roman" w:cs="Times New Roman"/>
          <w:sz w:val="24"/>
          <w:szCs w:val="24"/>
        </w:rPr>
        <w:t>del 6,5</w:t>
      </w:r>
      <w:r w:rsidRPr="003E1444">
        <w:rPr>
          <w:rFonts w:ascii="Times New Roman" w:hAnsi="Times New Roman" w:cs="Times New Roman"/>
          <w:sz w:val="24"/>
          <w:szCs w:val="24"/>
        </w:rPr>
        <w:t>%, seguiti dai beni di consumo (</w:t>
      </w:r>
      <w:r w:rsidR="006723C5">
        <w:rPr>
          <w:rFonts w:ascii="Times New Roman" w:hAnsi="Times New Roman" w:cs="Times New Roman"/>
          <w:sz w:val="24"/>
          <w:szCs w:val="24"/>
        </w:rPr>
        <w:t>-3,7</w:t>
      </w:r>
      <w:r w:rsidRPr="003E1444">
        <w:rPr>
          <w:rFonts w:ascii="Times New Roman" w:hAnsi="Times New Roman" w:cs="Times New Roman"/>
          <w:sz w:val="24"/>
          <w:szCs w:val="24"/>
        </w:rPr>
        <w:t>%) e dai prodotti industriali (</w:t>
      </w:r>
      <w:r w:rsidR="0030633C">
        <w:rPr>
          <w:rFonts w:ascii="Times New Roman" w:hAnsi="Times New Roman" w:cs="Times New Roman"/>
          <w:sz w:val="24"/>
          <w:szCs w:val="24"/>
        </w:rPr>
        <w:t>5,9</w:t>
      </w:r>
      <w:r w:rsidRPr="003E1444">
        <w:rPr>
          <w:rFonts w:ascii="Times New Roman" w:hAnsi="Times New Roman" w:cs="Times New Roman"/>
          <w:sz w:val="24"/>
          <w:szCs w:val="24"/>
        </w:rPr>
        <w:t xml:space="preserve">%). Le importazioni dei combustibili, alla quarta posizione, sono </w:t>
      </w:r>
      <w:r w:rsidR="0030633C">
        <w:rPr>
          <w:rFonts w:ascii="Times New Roman" w:hAnsi="Times New Roman" w:cs="Times New Roman"/>
          <w:sz w:val="24"/>
          <w:szCs w:val="24"/>
        </w:rPr>
        <w:t xml:space="preserve">calate </w:t>
      </w:r>
      <w:r w:rsidRPr="003E1444">
        <w:rPr>
          <w:rFonts w:ascii="Times New Roman" w:hAnsi="Times New Roman" w:cs="Times New Roman"/>
          <w:sz w:val="24"/>
          <w:szCs w:val="24"/>
        </w:rPr>
        <w:t xml:space="preserve">del </w:t>
      </w:r>
      <w:r w:rsidR="0030633C">
        <w:rPr>
          <w:rFonts w:ascii="Times New Roman" w:hAnsi="Times New Roman" w:cs="Times New Roman"/>
          <w:sz w:val="24"/>
          <w:szCs w:val="24"/>
        </w:rPr>
        <w:t>2,3</w:t>
      </w:r>
      <w:r w:rsidRPr="003E1444">
        <w:rPr>
          <w:rFonts w:ascii="Times New Roman" w:hAnsi="Times New Roman" w:cs="Times New Roman"/>
          <w:sz w:val="24"/>
          <w:szCs w:val="24"/>
        </w:rPr>
        <w:t>%, seguite, in quinta posizione, dai prodotti chimici (</w:t>
      </w:r>
      <w:r w:rsidR="0030633C">
        <w:rPr>
          <w:rFonts w:ascii="Times New Roman" w:hAnsi="Times New Roman" w:cs="Times New Roman"/>
          <w:sz w:val="24"/>
          <w:szCs w:val="24"/>
        </w:rPr>
        <w:t>-0,1</w:t>
      </w:r>
      <w:r w:rsidRPr="003E1444">
        <w:rPr>
          <w:rFonts w:ascii="Times New Roman" w:hAnsi="Times New Roman" w:cs="Times New Roman"/>
          <w:sz w:val="24"/>
          <w:szCs w:val="24"/>
        </w:rPr>
        <w:t xml:space="preserve"> % rispetto allo stesso periodo dell’anno precedente) e dai prodotti alimentari (</w:t>
      </w:r>
      <w:r w:rsidR="0030633C">
        <w:rPr>
          <w:rFonts w:ascii="Times New Roman" w:hAnsi="Times New Roman" w:cs="Times New Roman"/>
          <w:sz w:val="24"/>
          <w:szCs w:val="24"/>
        </w:rPr>
        <w:t>6,4</w:t>
      </w:r>
      <w:r w:rsidRPr="003E1444">
        <w:rPr>
          <w:rFonts w:ascii="Times New Roman" w:hAnsi="Times New Roman" w:cs="Times New Roman"/>
          <w:sz w:val="24"/>
          <w:szCs w:val="24"/>
        </w:rPr>
        <w:t xml:space="preserve">%) in sesta posizione. Il settimo posto è occupato dalle materie prime (in </w:t>
      </w:r>
      <w:r w:rsidR="0030633C">
        <w:rPr>
          <w:rFonts w:ascii="Times New Roman" w:hAnsi="Times New Roman" w:cs="Times New Roman"/>
          <w:sz w:val="24"/>
          <w:szCs w:val="24"/>
        </w:rPr>
        <w:t>calo</w:t>
      </w:r>
      <w:r w:rsidRPr="003E1444">
        <w:rPr>
          <w:rFonts w:ascii="Times New Roman" w:hAnsi="Times New Roman" w:cs="Times New Roman"/>
          <w:sz w:val="24"/>
          <w:szCs w:val="24"/>
        </w:rPr>
        <w:t xml:space="preserve"> del </w:t>
      </w:r>
      <w:r w:rsidR="0030633C">
        <w:rPr>
          <w:rFonts w:ascii="Times New Roman" w:hAnsi="Times New Roman" w:cs="Times New Roman"/>
          <w:sz w:val="24"/>
          <w:szCs w:val="24"/>
        </w:rPr>
        <w:t>7,3</w:t>
      </w:r>
      <w:r w:rsidRPr="003E1444">
        <w:rPr>
          <w:rFonts w:ascii="Times New Roman" w:hAnsi="Times New Roman" w:cs="Times New Roman"/>
          <w:sz w:val="24"/>
          <w:szCs w:val="24"/>
        </w:rPr>
        <w:t xml:space="preserve">%) e dalle bevande, in 8° posizione, con un aumento del </w:t>
      </w:r>
      <w:r w:rsidR="0030633C">
        <w:rPr>
          <w:rFonts w:ascii="Times New Roman" w:hAnsi="Times New Roman" w:cs="Times New Roman"/>
          <w:sz w:val="24"/>
          <w:szCs w:val="24"/>
        </w:rPr>
        <w:t>5,3</w:t>
      </w:r>
      <w:r w:rsidRPr="003E1444">
        <w:rPr>
          <w:rFonts w:ascii="Times New Roman" w:hAnsi="Times New Roman" w:cs="Times New Roman"/>
          <w:sz w:val="24"/>
          <w:szCs w:val="24"/>
        </w:rPr>
        <w:t>% e la nona posizione dagli oli e grassi, con una diminuzione delle importazioni rispet</w:t>
      </w:r>
      <w:r w:rsidR="0030633C">
        <w:rPr>
          <w:rFonts w:ascii="Times New Roman" w:hAnsi="Times New Roman" w:cs="Times New Roman"/>
          <w:sz w:val="24"/>
          <w:szCs w:val="24"/>
        </w:rPr>
        <w:t>to all’anno precedente, dell’11,7</w:t>
      </w:r>
      <w:r w:rsidRPr="003E1444">
        <w:rPr>
          <w:rFonts w:ascii="Times New Roman" w:hAnsi="Times New Roman" w:cs="Times New Roman"/>
          <w:sz w:val="24"/>
          <w:szCs w:val="24"/>
        </w:rPr>
        <w:t xml:space="preserve">%. Le </w:t>
      </w:r>
      <w:r w:rsidRPr="003E1444">
        <w:rPr>
          <w:rFonts w:ascii="Times New Roman" w:hAnsi="Times New Roman" w:cs="Times New Roman"/>
          <w:b/>
          <w:sz w:val="24"/>
          <w:szCs w:val="24"/>
        </w:rPr>
        <w:t>esportazioni slovacche</w:t>
      </w:r>
      <w:r w:rsidRPr="003E1444">
        <w:rPr>
          <w:rFonts w:ascii="Times New Roman" w:hAnsi="Times New Roman" w:cs="Times New Roman"/>
          <w:sz w:val="24"/>
          <w:szCs w:val="24"/>
        </w:rPr>
        <w:t xml:space="preserve"> sono maggiormente rappresentate dai macchinari e veicoli, registrando un aumento del </w:t>
      </w:r>
      <w:r w:rsidR="0030633C">
        <w:rPr>
          <w:rFonts w:ascii="Times New Roman" w:hAnsi="Times New Roman" w:cs="Times New Roman"/>
          <w:sz w:val="24"/>
          <w:szCs w:val="24"/>
        </w:rPr>
        <w:t>4</w:t>
      </w:r>
      <w:r w:rsidRPr="003E1444">
        <w:rPr>
          <w:rFonts w:ascii="Times New Roman" w:hAnsi="Times New Roman" w:cs="Times New Roman"/>
          <w:sz w:val="24"/>
          <w:szCs w:val="24"/>
        </w:rPr>
        <w:t>,9% rispetto al 201</w:t>
      </w:r>
      <w:r w:rsidR="0030633C">
        <w:rPr>
          <w:rFonts w:ascii="Times New Roman" w:hAnsi="Times New Roman" w:cs="Times New Roman"/>
          <w:sz w:val="24"/>
          <w:szCs w:val="24"/>
        </w:rPr>
        <w:t>8</w:t>
      </w:r>
      <w:r w:rsidRPr="003E1444">
        <w:rPr>
          <w:rFonts w:ascii="Times New Roman" w:hAnsi="Times New Roman" w:cs="Times New Roman"/>
          <w:sz w:val="24"/>
          <w:szCs w:val="24"/>
        </w:rPr>
        <w:t>, seguite dai beni di consumo alla seconda posizione (</w:t>
      </w:r>
      <w:r w:rsidR="0030633C">
        <w:rPr>
          <w:rFonts w:ascii="Times New Roman" w:hAnsi="Times New Roman" w:cs="Times New Roman"/>
          <w:sz w:val="24"/>
          <w:szCs w:val="24"/>
        </w:rPr>
        <w:t>-6</w:t>
      </w:r>
      <w:r w:rsidRPr="003E1444">
        <w:rPr>
          <w:rFonts w:ascii="Times New Roman" w:hAnsi="Times New Roman" w:cs="Times New Roman"/>
          <w:sz w:val="24"/>
          <w:szCs w:val="24"/>
        </w:rPr>
        <w:t xml:space="preserve">,0%) e dai prodotti industriali alla terza, registrando un </w:t>
      </w:r>
      <w:r w:rsidR="0030633C">
        <w:rPr>
          <w:rFonts w:ascii="Times New Roman" w:hAnsi="Times New Roman" w:cs="Times New Roman"/>
          <w:sz w:val="24"/>
          <w:szCs w:val="24"/>
        </w:rPr>
        <w:t>calo</w:t>
      </w:r>
      <w:r w:rsidRPr="003E1444">
        <w:rPr>
          <w:rFonts w:ascii="Times New Roman" w:hAnsi="Times New Roman" w:cs="Times New Roman"/>
          <w:sz w:val="24"/>
          <w:szCs w:val="24"/>
        </w:rPr>
        <w:t xml:space="preserve"> del</w:t>
      </w:r>
      <w:r w:rsidR="0030633C">
        <w:rPr>
          <w:rFonts w:ascii="Times New Roman" w:hAnsi="Times New Roman" w:cs="Times New Roman"/>
          <w:sz w:val="24"/>
          <w:szCs w:val="24"/>
        </w:rPr>
        <w:t>l'1,6</w:t>
      </w:r>
      <w:r w:rsidRPr="003E1444">
        <w:rPr>
          <w:rFonts w:ascii="Times New Roman" w:hAnsi="Times New Roman" w:cs="Times New Roman"/>
          <w:sz w:val="24"/>
          <w:szCs w:val="24"/>
        </w:rPr>
        <w:t xml:space="preserve">%. Al quarto posto si posizionano i prodotti chimici (in </w:t>
      </w:r>
      <w:r w:rsidR="0030633C">
        <w:rPr>
          <w:rFonts w:ascii="Times New Roman" w:hAnsi="Times New Roman" w:cs="Times New Roman"/>
          <w:sz w:val="24"/>
          <w:szCs w:val="24"/>
        </w:rPr>
        <w:t>in calo del 3,2</w:t>
      </w:r>
      <w:r w:rsidRPr="003E1444">
        <w:rPr>
          <w:rFonts w:ascii="Times New Roman" w:hAnsi="Times New Roman" w:cs="Times New Roman"/>
          <w:sz w:val="24"/>
          <w:szCs w:val="24"/>
        </w:rPr>
        <w:t xml:space="preserve">%), al quinto i combustibili (in calo del </w:t>
      </w:r>
      <w:r w:rsidR="0030633C">
        <w:rPr>
          <w:rFonts w:ascii="Times New Roman" w:hAnsi="Times New Roman" w:cs="Times New Roman"/>
          <w:sz w:val="24"/>
          <w:szCs w:val="24"/>
        </w:rPr>
        <w:t>2,0</w:t>
      </w:r>
      <w:r w:rsidRPr="003E1444">
        <w:rPr>
          <w:rFonts w:ascii="Times New Roman" w:hAnsi="Times New Roman" w:cs="Times New Roman"/>
          <w:sz w:val="24"/>
          <w:szCs w:val="24"/>
        </w:rPr>
        <w:t>%). In sesta posizione si confer</w:t>
      </w:r>
      <w:r w:rsidR="0030633C">
        <w:rPr>
          <w:rFonts w:ascii="Times New Roman" w:hAnsi="Times New Roman" w:cs="Times New Roman"/>
          <w:sz w:val="24"/>
          <w:szCs w:val="24"/>
        </w:rPr>
        <w:t>mano i prodotti alimentari (4,5</w:t>
      </w:r>
      <w:r w:rsidRPr="003E1444">
        <w:rPr>
          <w:rFonts w:ascii="Times New Roman" w:hAnsi="Times New Roman" w:cs="Times New Roman"/>
          <w:sz w:val="24"/>
          <w:szCs w:val="24"/>
        </w:rPr>
        <w:t xml:space="preserve">%), seguiti dalle materie prime in </w:t>
      </w:r>
      <w:r w:rsidR="0030633C">
        <w:rPr>
          <w:rFonts w:ascii="Times New Roman" w:hAnsi="Times New Roman" w:cs="Times New Roman"/>
          <w:sz w:val="24"/>
          <w:szCs w:val="24"/>
        </w:rPr>
        <w:t xml:space="preserve">calo </w:t>
      </w:r>
      <w:r w:rsidRPr="003E1444">
        <w:rPr>
          <w:rFonts w:ascii="Times New Roman" w:hAnsi="Times New Roman" w:cs="Times New Roman"/>
          <w:sz w:val="24"/>
          <w:szCs w:val="24"/>
        </w:rPr>
        <w:t xml:space="preserve">del </w:t>
      </w:r>
      <w:r w:rsidR="0030633C">
        <w:rPr>
          <w:rFonts w:ascii="Times New Roman" w:hAnsi="Times New Roman" w:cs="Times New Roman"/>
          <w:sz w:val="24"/>
          <w:szCs w:val="24"/>
        </w:rPr>
        <w:t>6,3</w:t>
      </w:r>
      <w:r w:rsidRPr="003E1444">
        <w:rPr>
          <w:rFonts w:ascii="Times New Roman" w:hAnsi="Times New Roman" w:cs="Times New Roman"/>
          <w:sz w:val="24"/>
          <w:szCs w:val="24"/>
        </w:rPr>
        <w:t>%, dalle bevande (</w:t>
      </w:r>
      <w:r w:rsidR="0030633C">
        <w:rPr>
          <w:rFonts w:ascii="Times New Roman" w:hAnsi="Times New Roman" w:cs="Times New Roman"/>
          <w:sz w:val="24"/>
          <w:szCs w:val="24"/>
        </w:rPr>
        <w:t>-2,6</w:t>
      </w:r>
      <w:r w:rsidRPr="003E1444">
        <w:rPr>
          <w:rFonts w:ascii="Times New Roman" w:hAnsi="Times New Roman" w:cs="Times New Roman"/>
          <w:sz w:val="24"/>
          <w:szCs w:val="24"/>
        </w:rPr>
        <w:t>%) e dagli oli e grassi (-</w:t>
      </w:r>
      <w:r w:rsidR="0030633C">
        <w:rPr>
          <w:rFonts w:ascii="Times New Roman" w:hAnsi="Times New Roman" w:cs="Times New Roman"/>
          <w:sz w:val="24"/>
          <w:szCs w:val="24"/>
        </w:rPr>
        <w:t>39,9</w:t>
      </w:r>
      <w:r w:rsidRPr="003E1444">
        <w:rPr>
          <w:rFonts w:ascii="Times New Roman" w:hAnsi="Times New Roman" w:cs="Times New Roman"/>
          <w:sz w:val="24"/>
          <w:szCs w:val="24"/>
        </w:rPr>
        <w:t>%).</w:t>
      </w: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F22" w:rsidRPr="003E1444" w:rsidRDefault="00F71F22" w:rsidP="00F71F22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E1444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3E1444">
        <w:rPr>
          <w:rFonts w:ascii="Times New Roman" w:hAnsi="Times New Roman" w:cs="Times New Roman"/>
          <w:sz w:val="24"/>
          <w:szCs w:val="24"/>
        </w:rPr>
        <w:t xml:space="preserve"> (</w:t>
      </w:r>
      <w:r w:rsidRPr="003E1444">
        <w:rPr>
          <w:rFonts w:ascii="Times New Roman" w:hAnsi="Times New Roman" w:cs="Times New Roman"/>
          <w:i/>
          <w:iCs/>
          <w:sz w:val="24"/>
          <w:szCs w:val="24"/>
        </w:rPr>
        <w:t>in milioni di Euro</w:t>
      </w:r>
      <w:r w:rsidRPr="003E144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9"/>
        <w:gridCol w:w="766"/>
        <w:gridCol w:w="766"/>
        <w:gridCol w:w="767"/>
        <w:gridCol w:w="767"/>
        <w:gridCol w:w="765"/>
        <w:gridCol w:w="988"/>
        <w:gridCol w:w="788"/>
        <w:gridCol w:w="1371"/>
        <w:gridCol w:w="1371"/>
      </w:tblGrid>
      <w:tr w:rsidR="006723C5" w:rsidRPr="003E1444" w:rsidTr="006723C5">
        <w:trPr>
          <w:trHeight w:val="40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Gruppi merceologici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Variazione </w:t>
            </w:r>
          </w:p>
          <w:p w:rsidR="006723C5" w:rsidRPr="003E1444" w:rsidRDefault="006723C5" w:rsidP="006723C5">
            <w:pPr>
              <w:spacing w:after="0" w:line="240" w:lineRule="auto"/>
              <w:ind w:left="93" w:hanging="9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/ 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pStyle w:val="Nadpis9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Macchinari, veicoli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24.018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25.315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26.382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30.351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31.589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33.907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37.678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40.149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Beni di consumo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8.862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8.995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9.259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9.655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9.922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11.057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11.623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11.234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</w:tr>
      <w:tr w:rsidR="006723C5" w:rsidRPr="003E1444" w:rsidTr="006723C5">
        <w:trPr>
          <w:trHeight w:val="99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. Industriali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7.002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6.974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7.402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8.596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8.125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8.311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Combustibili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7.882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7.945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6.340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5.281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4.412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6.235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6.834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Prodotti chimici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4.884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5.084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5.344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5.729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5.988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6.271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6.347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6.365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. Alimentari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2.986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3.022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2.935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3.029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3.265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3.372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3.530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Materie prime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2.076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1.904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1.712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1.550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1.494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1.950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2.056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-7,3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Bevande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354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421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Oli, grassi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-11,7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Altri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259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6723C5" w:rsidRPr="003E1444" w:rsidTr="006723C5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58.588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60.077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60.152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64.361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66.402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71.817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6723C5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77.326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79.362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5" w:rsidRPr="003E1444" w:rsidRDefault="002C3ED1" w:rsidP="009B7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</w:tbl>
    <w:p w:rsidR="00F71F22" w:rsidRPr="003E1444" w:rsidRDefault="00F71F22" w:rsidP="00F71F2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E1444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F71F22" w:rsidRPr="003E1444" w:rsidRDefault="00F71F22" w:rsidP="00F7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F22" w:rsidRPr="003E1444" w:rsidRDefault="00F71F22" w:rsidP="00F7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44">
        <w:rPr>
          <w:rFonts w:ascii="Times New Roman" w:hAnsi="Times New Roman" w:cs="Times New Roman"/>
          <w:b/>
          <w:bCs/>
          <w:sz w:val="24"/>
          <w:szCs w:val="24"/>
        </w:rPr>
        <w:t>Esportazioni</w:t>
      </w:r>
      <w:r w:rsidRPr="003E1444">
        <w:rPr>
          <w:rFonts w:ascii="Times New Roman" w:hAnsi="Times New Roman" w:cs="Times New Roman"/>
          <w:sz w:val="24"/>
          <w:szCs w:val="24"/>
        </w:rPr>
        <w:t xml:space="preserve"> (</w:t>
      </w:r>
      <w:r w:rsidRPr="003E1444">
        <w:rPr>
          <w:rFonts w:ascii="Times New Roman" w:hAnsi="Times New Roman" w:cs="Times New Roman"/>
          <w:i/>
          <w:iCs/>
          <w:sz w:val="24"/>
          <w:szCs w:val="24"/>
        </w:rPr>
        <w:t>in milioni di Euro</w:t>
      </w:r>
      <w:r w:rsidRPr="003E144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41" w:rightFromText="141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1"/>
        <w:gridCol w:w="806"/>
        <w:gridCol w:w="806"/>
        <w:gridCol w:w="696"/>
        <w:gridCol w:w="855"/>
        <w:gridCol w:w="733"/>
        <w:gridCol w:w="978"/>
        <w:gridCol w:w="751"/>
        <w:gridCol w:w="1371"/>
        <w:gridCol w:w="1371"/>
      </w:tblGrid>
      <w:tr w:rsidR="00D900E0" w:rsidRPr="003E1444" w:rsidTr="00D900E0">
        <w:trPr>
          <w:trHeight w:val="2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Gruppi merceologici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right="72" w:hanging="4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Variazione </w:t>
            </w:r>
          </w:p>
          <w:p w:rsidR="00D900E0" w:rsidRPr="003E1444" w:rsidRDefault="00D900E0" w:rsidP="00D900E0">
            <w:pPr>
              <w:spacing w:after="0" w:line="240" w:lineRule="auto"/>
              <w:ind w:left="93" w:hanging="93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/ 201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pStyle w:val="Nadpis9"/>
              <w:rPr>
                <w:rFonts w:ascii="Times New Roman" w:hAnsi="Times New Roman" w:cs="Times New Roman"/>
                <w:b w:val="0"/>
                <w:i/>
                <w:sz w:val="20"/>
                <w:szCs w:val="20"/>
                <w:lang w:val="it-IT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Macchinari, veicol</w:t>
            </w:r>
            <w:r w:rsidRPr="003E1444">
              <w:rPr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34.130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36.690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37.381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40.393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42.684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44.352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48.288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50.593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Beni di consumo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11.296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10.968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10.901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11.320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11.432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12.740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13.332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-6,0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. Industriali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5.612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5.629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6.394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6.600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6.517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7.037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7.529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7.434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Prodotti chimici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2.619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2.913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3.134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3.197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3.170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3.243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3.358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3.294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Combustibili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3.666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3.681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3.071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2.526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2.346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3.388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3.066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2.341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. alimentari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2.534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2.387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2.210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2.213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2.338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2.360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2.313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Materie prime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1.962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1.541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1.266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1.166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1.356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Bevande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-2,6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Oli, grassi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161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-39,9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Altri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D900E0" w:rsidRPr="003E1444" w:rsidTr="00D900E0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62.144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64.361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64.801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67.680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70.074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74.813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444">
              <w:rPr>
                <w:rFonts w:ascii="Times New Roman" w:hAnsi="Times New Roman" w:cs="Times New Roman"/>
                <w:b/>
                <w:sz w:val="20"/>
                <w:szCs w:val="20"/>
              </w:rPr>
              <w:t>79.786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80.459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E0" w:rsidRPr="003E1444" w:rsidRDefault="00D900E0" w:rsidP="009B722E">
            <w:pPr>
              <w:spacing w:after="0" w:line="240" w:lineRule="auto"/>
              <w:ind w:left="498" w:hanging="4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</w:tbl>
    <w:p w:rsidR="00F71F22" w:rsidRPr="003E1444" w:rsidRDefault="00F71F22" w:rsidP="00F71F2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E1444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</w:p>
    <w:p w:rsidR="00D900E0" w:rsidRDefault="00D900E0" w:rsidP="003E1444">
      <w:pPr>
        <w:spacing w:line="240" w:lineRule="atLeast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D73945" w:rsidRPr="00C300D1" w:rsidRDefault="00D73945" w:rsidP="003E144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3E1444">
        <w:rPr>
          <w:rFonts w:ascii="Times New Roman" w:hAnsi="Times New Roman" w:cs="Times New Roman"/>
          <w:b/>
          <w:i/>
          <w:iCs/>
          <w:sz w:val="24"/>
          <w:szCs w:val="24"/>
        </w:rPr>
        <w:t>Elaborazione</w:t>
      </w:r>
      <w:r w:rsidR="00D900E0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3E14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Ufficio commerciale</w:t>
      </w:r>
      <w:r w:rsidR="00D900E0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3E14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</w:t>
      </w:r>
      <w:r w:rsidR="00B34BAA" w:rsidRPr="003E1444">
        <w:rPr>
          <w:rFonts w:ascii="Times New Roman" w:hAnsi="Times New Roman" w:cs="Times New Roman"/>
          <w:b/>
          <w:i/>
          <w:iCs/>
          <w:sz w:val="24"/>
          <w:szCs w:val="24"/>
        </w:rPr>
        <w:t>mbasciata d’Italia Bratislava (</w:t>
      </w:r>
      <w:r w:rsidR="00F71F22" w:rsidRPr="003E1444">
        <w:rPr>
          <w:rFonts w:ascii="Times New Roman" w:hAnsi="Times New Roman" w:cs="Times New Roman"/>
          <w:b/>
          <w:i/>
          <w:iCs/>
          <w:sz w:val="24"/>
          <w:szCs w:val="24"/>
        </w:rPr>
        <w:t>aprile 20</w:t>
      </w:r>
      <w:r w:rsidR="00D900E0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Pr="003E1444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sectPr w:rsidR="00D73945" w:rsidRPr="00C300D1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D73945"/>
    <w:rsid w:val="00000C1A"/>
    <w:rsid w:val="00046D03"/>
    <w:rsid w:val="000508A5"/>
    <w:rsid w:val="00072334"/>
    <w:rsid w:val="000778C1"/>
    <w:rsid w:val="000C304F"/>
    <w:rsid w:val="000C38D4"/>
    <w:rsid w:val="000C6D49"/>
    <w:rsid w:val="000E26FF"/>
    <w:rsid w:val="000E50D6"/>
    <w:rsid w:val="00117B29"/>
    <w:rsid w:val="0012121D"/>
    <w:rsid w:val="001579E6"/>
    <w:rsid w:val="001600A7"/>
    <w:rsid w:val="001D7C47"/>
    <w:rsid w:val="001E32E5"/>
    <w:rsid w:val="001E7E0F"/>
    <w:rsid w:val="00231436"/>
    <w:rsid w:val="002531CC"/>
    <w:rsid w:val="00253BE4"/>
    <w:rsid w:val="002601BD"/>
    <w:rsid w:val="00260913"/>
    <w:rsid w:val="00266857"/>
    <w:rsid w:val="0026737D"/>
    <w:rsid w:val="00275F48"/>
    <w:rsid w:val="002846F2"/>
    <w:rsid w:val="002C05C6"/>
    <w:rsid w:val="002C3ED1"/>
    <w:rsid w:val="002D3048"/>
    <w:rsid w:val="0030633C"/>
    <w:rsid w:val="003218B5"/>
    <w:rsid w:val="00362E1A"/>
    <w:rsid w:val="003B129B"/>
    <w:rsid w:val="003C7C38"/>
    <w:rsid w:val="003C7C58"/>
    <w:rsid w:val="003E01B1"/>
    <w:rsid w:val="003E1444"/>
    <w:rsid w:val="00404AB7"/>
    <w:rsid w:val="00461212"/>
    <w:rsid w:val="00463449"/>
    <w:rsid w:val="00486D74"/>
    <w:rsid w:val="004903AE"/>
    <w:rsid w:val="004B47D3"/>
    <w:rsid w:val="004C6B49"/>
    <w:rsid w:val="004C78CE"/>
    <w:rsid w:val="004E347D"/>
    <w:rsid w:val="004E4ECD"/>
    <w:rsid w:val="00501118"/>
    <w:rsid w:val="00524369"/>
    <w:rsid w:val="00540726"/>
    <w:rsid w:val="00542BE0"/>
    <w:rsid w:val="00561196"/>
    <w:rsid w:val="0057395E"/>
    <w:rsid w:val="005A1DFD"/>
    <w:rsid w:val="005A3E13"/>
    <w:rsid w:val="005B4E9C"/>
    <w:rsid w:val="00601FC8"/>
    <w:rsid w:val="0061108E"/>
    <w:rsid w:val="00633391"/>
    <w:rsid w:val="00636603"/>
    <w:rsid w:val="00662480"/>
    <w:rsid w:val="006719BC"/>
    <w:rsid w:val="006723C5"/>
    <w:rsid w:val="00687B18"/>
    <w:rsid w:val="00694F3C"/>
    <w:rsid w:val="006967D3"/>
    <w:rsid w:val="00710A71"/>
    <w:rsid w:val="007558D0"/>
    <w:rsid w:val="007628A7"/>
    <w:rsid w:val="007A3F6C"/>
    <w:rsid w:val="007B662B"/>
    <w:rsid w:val="007C5291"/>
    <w:rsid w:val="007E4F4C"/>
    <w:rsid w:val="007E7BCC"/>
    <w:rsid w:val="007F751F"/>
    <w:rsid w:val="008170D6"/>
    <w:rsid w:val="00856868"/>
    <w:rsid w:val="00892CCE"/>
    <w:rsid w:val="008F0ED2"/>
    <w:rsid w:val="008F5BFF"/>
    <w:rsid w:val="009036B4"/>
    <w:rsid w:val="0091153C"/>
    <w:rsid w:val="00916DC5"/>
    <w:rsid w:val="00917D2F"/>
    <w:rsid w:val="00930E53"/>
    <w:rsid w:val="00954379"/>
    <w:rsid w:val="009B722E"/>
    <w:rsid w:val="009F0405"/>
    <w:rsid w:val="00A45EA6"/>
    <w:rsid w:val="00A54DCB"/>
    <w:rsid w:val="00AD4F6F"/>
    <w:rsid w:val="00B02C6B"/>
    <w:rsid w:val="00B3093A"/>
    <w:rsid w:val="00B34BAA"/>
    <w:rsid w:val="00B37F8A"/>
    <w:rsid w:val="00B563E4"/>
    <w:rsid w:val="00B600B9"/>
    <w:rsid w:val="00B66A64"/>
    <w:rsid w:val="00BC6FE5"/>
    <w:rsid w:val="00C02E67"/>
    <w:rsid w:val="00C1691D"/>
    <w:rsid w:val="00C300D1"/>
    <w:rsid w:val="00C315C3"/>
    <w:rsid w:val="00C4327A"/>
    <w:rsid w:val="00C92F28"/>
    <w:rsid w:val="00CA64DF"/>
    <w:rsid w:val="00D32B09"/>
    <w:rsid w:val="00D408AC"/>
    <w:rsid w:val="00D47B44"/>
    <w:rsid w:val="00D70A55"/>
    <w:rsid w:val="00D73945"/>
    <w:rsid w:val="00D77CA0"/>
    <w:rsid w:val="00D83EB7"/>
    <w:rsid w:val="00D900E0"/>
    <w:rsid w:val="00DE7132"/>
    <w:rsid w:val="00DF09C4"/>
    <w:rsid w:val="00DF4ADE"/>
    <w:rsid w:val="00E25918"/>
    <w:rsid w:val="00E9105B"/>
    <w:rsid w:val="00EE0760"/>
    <w:rsid w:val="00F0471D"/>
    <w:rsid w:val="00F20D65"/>
    <w:rsid w:val="00F53DF7"/>
    <w:rsid w:val="00F649D9"/>
    <w:rsid w:val="00F71F22"/>
    <w:rsid w:val="00F960AB"/>
    <w:rsid w:val="00FB3BC4"/>
    <w:rsid w:val="00FC5D46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3945"/>
    <w:rPr>
      <w:rFonts w:ascii="Calibri" w:eastAsia="Calibri" w:hAnsi="Calibri" w:cs="Calibri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73945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color w:val="000000"/>
      <w:sz w:val="24"/>
      <w:szCs w:val="24"/>
      <w:lang w:val="en-US" w:eastAsia="it-IT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73945"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D73945"/>
    <w:rPr>
      <w:rFonts w:ascii="Arial" w:eastAsia="Calibri" w:hAnsi="Arial" w:cs="Arial"/>
      <w:b/>
      <w:bCs/>
      <w:color w:val="000000"/>
      <w:sz w:val="24"/>
      <w:szCs w:val="24"/>
      <w:lang w:val="en-US" w:eastAsia="it-IT"/>
    </w:rPr>
  </w:style>
  <w:style w:type="character" w:customStyle="1" w:styleId="Nadpis9Char">
    <w:name w:val="Nadpis 9 Char"/>
    <w:basedOn w:val="Predvolenpsmoodseku"/>
    <w:link w:val="Nadpis9"/>
    <w:uiPriority w:val="99"/>
    <w:rsid w:val="00D73945"/>
    <w:rPr>
      <w:rFonts w:ascii="Arial" w:eastAsia="Calibri" w:hAnsi="Arial" w:cs="Arial"/>
      <w:b/>
      <w:bCs/>
      <w:sz w:val="24"/>
      <w:szCs w:val="24"/>
      <w:lang w:val="en-US"/>
    </w:rPr>
  </w:style>
  <w:style w:type="paragraph" w:styleId="Zkladntext">
    <w:name w:val="Body Text"/>
    <w:aliases w:val="Body Text Char,Body Text(ch),正文文本,Carattere"/>
    <w:basedOn w:val="Normlny"/>
    <w:link w:val="ZkladntextChar"/>
    <w:uiPriority w:val="99"/>
    <w:semiHidden/>
    <w:rsid w:val="00D73945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en-US" w:eastAsia="it-IT"/>
    </w:rPr>
  </w:style>
  <w:style w:type="character" w:customStyle="1" w:styleId="ZkladntextChar">
    <w:name w:val="Základný text Char"/>
    <w:aliases w:val="Body Text Char Char,Body Text(ch) Char,正文文本 Char,Carattere Char"/>
    <w:basedOn w:val="Predvolenpsmoodseku"/>
    <w:link w:val="Zkladntext"/>
    <w:uiPriority w:val="99"/>
    <w:semiHidden/>
    <w:rsid w:val="00D73945"/>
    <w:rPr>
      <w:rFonts w:ascii="Arial" w:eastAsia="Calibri" w:hAnsi="Arial" w:cs="Arial"/>
      <w:color w:val="000000"/>
      <w:sz w:val="24"/>
      <w:szCs w:val="24"/>
      <w:lang w:val="en-US" w:eastAsia="it-IT"/>
    </w:rPr>
  </w:style>
  <w:style w:type="character" w:styleId="Siln">
    <w:name w:val="Strong"/>
    <w:basedOn w:val="Predvolenpsmoodseku"/>
    <w:uiPriority w:val="22"/>
    <w:qFormat/>
    <w:rsid w:val="00D73945"/>
    <w:rPr>
      <w:b/>
      <w:bCs/>
    </w:rPr>
  </w:style>
  <w:style w:type="paragraph" w:styleId="Zkladntext2">
    <w:name w:val="Body Text 2"/>
    <w:basedOn w:val="Normlny"/>
    <w:link w:val="Zkladntext2Char"/>
    <w:uiPriority w:val="99"/>
    <w:semiHidden/>
    <w:rsid w:val="00D73945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73945"/>
    <w:rPr>
      <w:rFonts w:ascii="Arial" w:eastAsia="Calibri" w:hAnsi="Arial" w:cs="Arial"/>
      <w:sz w:val="24"/>
      <w:szCs w:val="24"/>
      <w:lang w:val="en-US" w:eastAsia="it-IT"/>
    </w:rPr>
  </w:style>
  <w:style w:type="paragraph" w:styleId="Hlavika">
    <w:name w:val="header"/>
    <w:basedOn w:val="Normlny"/>
    <w:link w:val="HlavikaChar"/>
    <w:rsid w:val="00D73945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val="en-US" w:eastAsia="it-IT"/>
    </w:rPr>
  </w:style>
  <w:style w:type="character" w:customStyle="1" w:styleId="HlavikaChar">
    <w:name w:val="Hlavička Char"/>
    <w:basedOn w:val="Predvolenpsmoodseku"/>
    <w:link w:val="Hlavika"/>
    <w:rsid w:val="00D73945"/>
    <w:rPr>
      <w:rFonts w:ascii="Calibri" w:eastAsia="Calibri" w:hAnsi="Calibri" w:cs="Calibri"/>
      <w:sz w:val="24"/>
      <w:szCs w:val="24"/>
      <w:lang w:val="en-US" w:eastAsia="it-IT"/>
    </w:rPr>
  </w:style>
  <w:style w:type="paragraph" w:styleId="Popis">
    <w:name w:val="caption"/>
    <w:basedOn w:val="Normlny"/>
    <w:next w:val="Normlny"/>
    <w:qFormat/>
    <w:rsid w:val="00D73945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1"/>
      <w:szCs w:val="21"/>
      <w:lang w:eastAsia="it-IT"/>
    </w:rPr>
  </w:style>
  <w:style w:type="paragraph" w:customStyle="1" w:styleId="CM20">
    <w:name w:val="CM20"/>
    <w:basedOn w:val="Normlny"/>
    <w:next w:val="Normlny"/>
    <w:rsid w:val="00D73945"/>
    <w:pPr>
      <w:widowControl w:val="0"/>
      <w:autoSpaceDE w:val="0"/>
      <w:autoSpaceDN w:val="0"/>
      <w:adjustRightInd w:val="0"/>
      <w:spacing w:after="63" w:line="240" w:lineRule="auto"/>
    </w:pPr>
    <w:rPr>
      <w:rFonts w:ascii="Garamond" w:eastAsia="SimSun" w:hAnsi="Garamond" w:cs="Garamond"/>
      <w:sz w:val="24"/>
      <w:szCs w:val="24"/>
      <w:lang w:val="en-US" w:eastAsia="zh-CN"/>
    </w:rPr>
  </w:style>
  <w:style w:type="paragraph" w:styleId="Nzov">
    <w:name w:val="Title"/>
    <w:basedOn w:val="Normlny"/>
    <w:next w:val="Normlny"/>
    <w:link w:val="NzovChar"/>
    <w:qFormat/>
    <w:rsid w:val="00D73945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73945"/>
    <w:rPr>
      <w:rFonts w:ascii="Cambria" w:eastAsia="Times New Roman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62343-604F-4E94-B36C-FD808A81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Dalila</cp:lastModifiedBy>
  <cp:revision>9</cp:revision>
  <dcterms:created xsi:type="dcterms:W3CDTF">2020-04-14T16:05:00Z</dcterms:created>
  <dcterms:modified xsi:type="dcterms:W3CDTF">2020-04-15T10:00:00Z</dcterms:modified>
</cp:coreProperties>
</file>